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34"/>
        <w:gridCol w:w="708"/>
        <w:gridCol w:w="567"/>
        <w:gridCol w:w="709"/>
        <w:gridCol w:w="567"/>
        <w:gridCol w:w="851"/>
        <w:gridCol w:w="2641"/>
        <w:gridCol w:w="1843"/>
        <w:gridCol w:w="1134"/>
        <w:gridCol w:w="850"/>
        <w:gridCol w:w="1275"/>
        <w:gridCol w:w="709"/>
        <w:gridCol w:w="1134"/>
        <w:gridCol w:w="567"/>
        <w:gridCol w:w="425"/>
        <w:gridCol w:w="56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534" w:type="dxa"/>
            <w:textDirection w:val="btLr"/>
            <w:vAlign w:val="center"/>
          </w:tcPr>
          <w:p w:rsidR="00000000" w:rsidRDefault="00CB6E0C">
            <w:pPr>
              <w:spacing w:after="0"/>
              <w:ind w:left="113" w:right="113"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vAlign w:val="center"/>
          </w:tcPr>
          <w:p w:rsidR="00000000" w:rsidRDefault="00CB6E0C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</w:t>
            </w:r>
          </w:p>
        </w:tc>
        <w:tc>
          <w:tcPr>
            <w:tcW w:w="567" w:type="dxa"/>
            <w:vAlign w:val="center"/>
          </w:tcPr>
          <w:p w:rsidR="00000000" w:rsidRDefault="00CB6E0C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B</w:t>
            </w:r>
          </w:p>
        </w:tc>
        <w:tc>
          <w:tcPr>
            <w:tcW w:w="709" w:type="dxa"/>
            <w:vAlign w:val="center"/>
          </w:tcPr>
          <w:p w:rsidR="00000000" w:rsidRDefault="00CB6E0C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567" w:type="dxa"/>
            <w:vAlign w:val="center"/>
          </w:tcPr>
          <w:p w:rsidR="00000000" w:rsidRDefault="00CB6E0C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</w:t>
            </w:r>
          </w:p>
        </w:tc>
        <w:tc>
          <w:tcPr>
            <w:tcW w:w="851" w:type="dxa"/>
            <w:vAlign w:val="center"/>
          </w:tcPr>
          <w:p w:rsidR="00000000" w:rsidRDefault="00CB6E0C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</w:t>
            </w:r>
          </w:p>
        </w:tc>
        <w:tc>
          <w:tcPr>
            <w:tcW w:w="2641" w:type="dxa"/>
            <w:vAlign w:val="center"/>
          </w:tcPr>
          <w:p w:rsidR="00000000" w:rsidRDefault="00CB6E0C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F</w:t>
            </w:r>
          </w:p>
        </w:tc>
        <w:tc>
          <w:tcPr>
            <w:tcW w:w="1843" w:type="dxa"/>
            <w:vAlign w:val="center"/>
          </w:tcPr>
          <w:p w:rsidR="00000000" w:rsidRDefault="00CB6E0C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G</w:t>
            </w:r>
          </w:p>
        </w:tc>
        <w:tc>
          <w:tcPr>
            <w:tcW w:w="1134" w:type="dxa"/>
            <w:vAlign w:val="center"/>
          </w:tcPr>
          <w:p w:rsidR="00000000" w:rsidRDefault="00CB6E0C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H</w:t>
            </w:r>
          </w:p>
        </w:tc>
        <w:tc>
          <w:tcPr>
            <w:tcW w:w="850" w:type="dxa"/>
            <w:vAlign w:val="center"/>
          </w:tcPr>
          <w:p w:rsidR="00000000" w:rsidRDefault="00CB6E0C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</w:t>
            </w:r>
          </w:p>
        </w:tc>
        <w:tc>
          <w:tcPr>
            <w:tcW w:w="1275" w:type="dxa"/>
            <w:vAlign w:val="center"/>
          </w:tcPr>
          <w:p w:rsidR="00000000" w:rsidRDefault="00CB6E0C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J</w:t>
            </w:r>
          </w:p>
        </w:tc>
        <w:tc>
          <w:tcPr>
            <w:tcW w:w="709" w:type="dxa"/>
            <w:vAlign w:val="center"/>
          </w:tcPr>
          <w:p w:rsidR="00000000" w:rsidRDefault="00CB6E0C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</w:t>
            </w:r>
          </w:p>
        </w:tc>
        <w:tc>
          <w:tcPr>
            <w:tcW w:w="1134" w:type="dxa"/>
            <w:vAlign w:val="center"/>
          </w:tcPr>
          <w:p w:rsidR="00000000" w:rsidRDefault="00CB6E0C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L</w:t>
            </w:r>
          </w:p>
        </w:tc>
        <w:tc>
          <w:tcPr>
            <w:tcW w:w="567" w:type="dxa"/>
            <w:vAlign w:val="center"/>
          </w:tcPr>
          <w:p w:rsidR="00000000" w:rsidRDefault="00CB6E0C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</w:t>
            </w:r>
          </w:p>
        </w:tc>
        <w:tc>
          <w:tcPr>
            <w:tcW w:w="425" w:type="dxa"/>
            <w:vAlign w:val="center"/>
          </w:tcPr>
          <w:p w:rsidR="00000000" w:rsidRDefault="00CB6E0C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</w:t>
            </w:r>
          </w:p>
        </w:tc>
        <w:tc>
          <w:tcPr>
            <w:tcW w:w="567" w:type="dxa"/>
            <w:vAlign w:val="center"/>
          </w:tcPr>
          <w:p w:rsidR="00000000" w:rsidRDefault="00CB6E0C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:rsidR="00000000" w:rsidRDefault="00CB6E0C">
            <w:pPr>
              <w:spacing w:after="0"/>
              <w:ind w:left="113" w:right="113"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vAlign w:val="center"/>
          </w:tcPr>
          <w:p w:rsidR="00000000" w:rsidRDefault="00CB6E0C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Áht. azonosító</w:t>
            </w:r>
          </w:p>
        </w:tc>
        <w:tc>
          <w:tcPr>
            <w:tcW w:w="567" w:type="dxa"/>
            <w:vAlign w:val="center"/>
          </w:tcPr>
          <w:p w:rsidR="00000000" w:rsidRDefault="00CB6E0C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Cím-név</w:t>
            </w:r>
          </w:p>
        </w:tc>
        <w:tc>
          <w:tcPr>
            <w:tcW w:w="709" w:type="dxa"/>
            <w:vAlign w:val="center"/>
          </w:tcPr>
          <w:p w:rsidR="00000000" w:rsidRDefault="00CB6E0C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Alcímnév</w:t>
            </w:r>
          </w:p>
        </w:tc>
        <w:tc>
          <w:tcPr>
            <w:tcW w:w="567" w:type="dxa"/>
            <w:vAlign w:val="center"/>
          </w:tcPr>
          <w:p w:rsidR="00000000" w:rsidRDefault="00CB6E0C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Jogcím-</w:t>
            </w:r>
          </w:p>
          <w:p w:rsidR="00000000" w:rsidRDefault="00CB6E0C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csoport</w:t>
            </w:r>
          </w:p>
        </w:tc>
        <w:tc>
          <w:tcPr>
            <w:tcW w:w="851" w:type="dxa"/>
            <w:vAlign w:val="center"/>
          </w:tcPr>
          <w:p w:rsidR="00000000" w:rsidRDefault="00CB6E0C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Jogcímnév</w:t>
            </w:r>
          </w:p>
        </w:tc>
        <w:tc>
          <w:tcPr>
            <w:tcW w:w="2641" w:type="dxa"/>
            <w:vAlign w:val="center"/>
          </w:tcPr>
          <w:p w:rsidR="00000000" w:rsidRDefault="00CB6E0C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Előirányzat célja</w:t>
            </w:r>
          </w:p>
        </w:tc>
        <w:tc>
          <w:tcPr>
            <w:tcW w:w="1843" w:type="dxa"/>
            <w:vAlign w:val="center"/>
          </w:tcPr>
          <w:p w:rsidR="00000000" w:rsidRDefault="00CB6E0C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Kifizetésben részesülők köre</w:t>
            </w:r>
          </w:p>
        </w:tc>
        <w:tc>
          <w:tcPr>
            <w:tcW w:w="1134" w:type="dxa"/>
            <w:vAlign w:val="center"/>
          </w:tcPr>
          <w:p w:rsidR="00000000" w:rsidRDefault="00CB6E0C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Támogatás </w:t>
            </w:r>
            <w:r>
              <w:rPr>
                <w:sz w:val="10"/>
                <w:szCs w:val="10"/>
              </w:rPr>
              <w:br/>
              <w:t>biztosításának módja</w:t>
            </w:r>
          </w:p>
        </w:tc>
        <w:tc>
          <w:tcPr>
            <w:tcW w:w="850" w:type="dxa"/>
            <w:vAlign w:val="center"/>
          </w:tcPr>
          <w:p w:rsidR="00000000" w:rsidRDefault="00CB6E0C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Támogatási</w:t>
            </w:r>
          </w:p>
          <w:p w:rsidR="00000000" w:rsidRDefault="00CB6E0C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előleg</w:t>
            </w:r>
          </w:p>
        </w:tc>
        <w:tc>
          <w:tcPr>
            <w:tcW w:w="1275" w:type="dxa"/>
            <w:vAlign w:val="center"/>
          </w:tcPr>
          <w:p w:rsidR="00000000" w:rsidRDefault="00CB6E0C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Rendelkezésre bocsátás módja</w:t>
            </w:r>
          </w:p>
        </w:tc>
        <w:tc>
          <w:tcPr>
            <w:tcW w:w="709" w:type="dxa"/>
            <w:vAlign w:val="center"/>
          </w:tcPr>
          <w:p w:rsidR="00000000" w:rsidRDefault="00CB6E0C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Visszafizetés határideje</w:t>
            </w:r>
          </w:p>
        </w:tc>
        <w:tc>
          <w:tcPr>
            <w:tcW w:w="1134" w:type="dxa"/>
            <w:vAlign w:val="center"/>
          </w:tcPr>
          <w:p w:rsidR="00000000" w:rsidRDefault="00CB6E0C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Biztosíték</w:t>
            </w:r>
          </w:p>
        </w:tc>
        <w:tc>
          <w:tcPr>
            <w:tcW w:w="567" w:type="dxa"/>
            <w:vAlign w:val="center"/>
          </w:tcPr>
          <w:p w:rsidR="00000000" w:rsidRDefault="00CB6E0C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Kezelő-</w:t>
            </w:r>
            <w:r>
              <w:rPr>
                <w:sz w:val="10"/>
                <w:szCs w:val="10"/>
              </w:rPr>
              <w:br/>
              <w:t>szerv</w:t>
            </w:r>
          </w:p>
        </w:tc>
        <w:tc>
          <w:tcPr>
            <w:tcW w:w="425" w:type="dxa"/>
            <w:vAlign w:val="center"/>
          </w:tcPr>
          <w:p w:rsidR="00000000" w:rsidRDefault="00CB6E0C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sz w:val="10"/>
                <w:szCs w:val="10"/>
              </w:rPr>
              <w:t>Lebo-</w:t>
            </w:r>
            <w:proofErr w:type="spellEnd"/>
            <w:r>
              <w:rPr>
                <w:sz w:val="10"/>
                <w:szCs w:val="10"/>
              </w:rPr>
              <w:br/>
            </w:r>
            <w:proofErr w:type="spellStart"/>
            <w:r>
              <w:rPr>
                <w:sz w:val="10"/>
                <w:szCs w:val="10"/>
              </w:rPr>
              <w:t>nyolító</w:t>
            </w:r>
            <w:proofErr w:type="spellEnd"/>
            <w:r>
              <w:rPr>
                <w:sz w:val="10"/>
                <w:szCs w:val="10"/>
              </w:rPr>
              <w:t xml:space="preserve"> szerv</w:t>
            </w:r>
          </w:p>
        </w:tc>
        <w:tc>
          <w:tcPr>
            <w:tcW w:w="567" w:type="dxa"/>
            <w:vAlign w:val="center"/>
          </w:tcPr>
          <w:p w:rsidR="00000000" w:rsidRDefault="00CB6E0C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Európai uniós forrásból </w:t>
            </w:r>
            <w:proofErr w:type="spellStart"/>
            <w:r>
              <w:rPr>
                <w:sz w:val="10"/>
                <w:szCs w:val="10"/>
              </w:rPr>
              <w:t>finan-</w:t>
            </w:r>
            <w:proofErr w:type="spellEnd"/>
            <w:r>
              <w:rPr>
                <w:sz w:val="10"/>
                <w:szCs w:val="10"/>
              </w:rPr>
              <w:br/>
            </w:r>
            <w:proofErr w:type="spellStart"/>
            <w:r>
              <w:rPr>
                <w:sz w:val="10"/>
                <w:szCs w:val="10"/>
              </w:rPr>
              <w:t>szírozott</w:t>
            </w:r>
            <w:proofErr w:type="spellEnd"/>
            <w:r>
              <w:rPr>
                <w:sz w:val="10"/>
                <w:szCs w:val="10"/>
              </w:rPr>
              <w:t xml:space="preserve"> költség-vetési támogatás közre-működő szervezete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34" w:type="dxa"/>
            <w:tcBorders>
              <w:bottom w:val="nil"/>
            </w:tcBorders>
            <w:vAlign w:val="center"/>
          </w:tcPr>
          <w:p w:rsidR="00000000" w:rsidRDefault="00CB6E0C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000000" w:rsidRDefault="00CB6E0C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3839" w:type="dxa"/>
            <w:gridSpan w:val="14"/>
            <w:tcBorders>
              <w:bottom w:val="nil"/>
            </w:tcBorders>
            <w:vAlign w:val="center"/>
          </w:tcPr>
          <w:p w:rsidR="00000000" w:rsidRDefault="00CB6E0C">
            <w:pPr>
              <w:spacing w:after="0" w:line="480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Fejezeti kezelésű előirányzatok</w:t>
            </w:r>
          </w:p>
        </w:tc>
      </w:tr>
      <w:tr w:rsidR="00375550" w:rsidTr="00375550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534" w:type="dxa"/>
            <w:vMerge w:val="restart"/>
          </w:tcPr>
          <w:p w:rsidR="00375550" w:rsidRPr="00E06CE7" w:rsidRDefault="00375550" w:rsidP="00E1456A">
            <w:pPr>
              <w:pStyle w:val="T6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E06CE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2</w:t>
            </w:r>
          </w:p>
        </w:tc>
        <w:tc>
          <w:tcPr>
            <w:tcW w:w="708" w:type="dxa"/>
            <w:vMerge w:val="restart"/>
          </w:tcPr>
          <w:p w:rsidR="00375550" w:rsidRPr="00E06CE7" w:rsidRDefault="00375550" w:rsidP="00E1456A">
            <w:pPr>
              <w:pStyle w:val="T6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E06CE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001052</w:t>
            </w:r>
          </w:p>
        </w:tc>
        <w:tc>
          <w:tcPr>
            <w:tcW w:w="567" w:type="dxa"/>
            <w:vMerge w:val="restart"/>
          </w:tcPr>
          <w:p w:rsidR="00375550" w:rsidRPr="00E06CE7" w:rsidRDefault="00375550" w:rsidP="00E1456A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2127" w:type="dxa"/>
            <w:gridSpan w:val="3"/>
            <w:vMerge w:val="restart"/>
          </w:tcPr>
          <w:p w:rsidR="00375550" w:rsidRPr="00E06CE7" w:rsidRDefault="00375550" w:rsidP="00E1456A">
            <w:pPr>
              <w:pStyle w:val="T6balTablazat"/>
              <w:spacing w:line="240" w:lineRule="auto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E06CE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IM szakmai programok és egyéb kötelezettségek támogatása</w:t>
            </w:r>
          </w:p>
        </w:tc>
        <w:tc>
          <w:tcPr>
            <w:tcW w:w="2641" w:type="dxa"/>
            <w:tcBorders>
              <w:bottom w:val="nil"/>
            </w:tcBorders>
          </w:tcPr>
          <w:p w:rsidR="00375550" w:rsidRPr="00E06CE7" w:rsidRDefault="00375550" w:rsidP="00E1456A">
            <w:pPr>
              <w:pStyle w:val="T6balTablazat"/>
              <w:spacing w:line="240" w:lineRule="auto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E06CE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Az előirányzat felhasználható</w:t>
            </w:r>
          </w:p>
        </w:tc>
        <w:tc>
          <w:tcPr>
            <w:tcW w:w="1843" w:type="dxa"/>
            <w:tcBorders>
              <w:bottom w:val="nil"/>
            </w:tcBorders>
          </w:tcPr>
          <w:p w:rsidR="00375550" w:rsidRPr="00E06CE7" w:rsidRDefault="00375550" w:rsidP="00E1456A">
            <w:pPr>
              <w:pStyle w:val="T6balTablazat"/>
              <w:spacing w:line="240" w:lineRule="auto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:rsidR="00375550" w:rsidRPr="00E06CE7" w:rsidRDefault="00375550" w:rsidP="00E1456A">
            <w:pPr>
              <w:pStyle w:val="T6balTablazat"/>
              <w:spacing w:line="240" w:lineRule="auto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E06CE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A határon átnyúló tartási ügyekben történő központi hatósági feladatok, valamint az EU utazási költségtérítések kivételével egyedi döntéssel vagy pályázati úton.</w:t>
            </w:r>
          </w:p>
          <w:p w:rsidR="00375550" w:rsidRPr="00E06CE7" w:rsidRDefault="00375550" w:rsidP="00E1456A">
            <w:pPr>
              <w:pStyle w:val="T6balTablazat"/>
              <w:spacing w:line="240" w:lineRule="auto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E06CE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A határon átnyúló tartási ügyekben történő központi hatósági feladatok, valamint az EU utazási költségtérítések esetében a kifizetésre más fizetési kötelezettségek alapján kerül sor.</w:t>
            </w:r>
          </w:p>
        </w:tc>
        <w:tc>
          <w:tcPr>
            <w:tcW w:w="850" w:type="dxa"/>
            <w:vMerge w:val="restart"/>
          </w:tcPr>
          <w:p w:rsidR="00375550" w:rsidRPr="00E06CE7" w:rsidRDefault="00375550" w:rsidP="00E1456A">
            <w:pPr>
              <w:pStyle w:val="T6balTablazat"/>
              <w:spacing w:line="240" w:lineRule="auto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E06CE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A határon átnyúló tartási ügyekben történő központi hatósági feladatok kivételével előleg biztosítható.</w:t>
            </w:r>
          </w:p>
        </w:tc>
        <w:tc>
          <w:tcPr>
            <w:tcW w:w="1275" w:type="dxa"/>
            <w:vMerge w:val="restart"/>
          </w:tcPr>
          <w:p w:rsidR="00375550" w:rsidRPr="00E06CE7" w:rsidRDefault="00375550" w:rsidP="00E1456A">
            <w:pPr>
              <w:pStyle w:val="T6balTablazat"/>
              <w:spacing w:line="240" w:lineRule="auto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E06CE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egyösszegű kifizetéssel, részletekben történő kifizetéssel – </w:t>
            </w:r>
            <w:r w:rsidRPr="00E06CE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br/>
              <w:t>időarányosan vagy teljesítésarányosan</w:t>
            </w:r>
          </w:p>
        </w:tc>
        <w:tc>
          <w:tcPr>
            <w:tcW w:w="709" w:type="dxa"/>
            <w:vMerge w:val="restart"/>
          </w:tcPr>
          <w:p w:rsidR="00375550" w:rsidRPr="00E06CE7" w:rsidRDefault="00375550" w:rsidP="00E1456A">
            <w:pPr>
              <w:pStyle w:val="T6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E06CE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–</w:t>
            </w:r>
          </w:p>
        </w:tc>
        <w:tc>
          <w:tcPr>
            <w:tcW w:w="1134" w:type="dxa"/>
            <w:vMerge w:val="restart"/>
          </w:tcPr>
          <w:p w:rsidR="00375550" w:rsidRPr="00E06CE7" w:rsidRDefault="00375550" w:rsidP="00E1456A">
            <w:pPr>
              <w:pStyle w:val="T6balTablazat"/>
              <w:spacing w:line="240" w:lineRule="auto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E06CE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támogatási jogviszony létesítése esetén az </w:t>
            </w:r>
            <w:proofErr w:type="spellStart"/>
            <w:r w:rsidRPr="00E06CE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Ávr</w:t>
            </w:r>
            <w:proofErr w:type="spellEnd"/>
            <w:r w:rsidRPr="00E06CE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. 84. § (2) bekezdése szerint</w:t>
            </w:r>
          </w:p>
        </w:tc>
        <w:tc>
          <w:tcPr>
            <w:tcW w:w="567" w:type="dxa"/>
            <w:vMerge w:val="restart"/>
          </w:tcPr>
          <w:p w:rsidR="00375550" w:rsidRPr="00E06CE7" w:rsidRDefault="00375550" w:rsidP="00E1456A">
            <w:pPr>
              <w:pStyle w:val="T6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E06CE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–</w:t>
            </w:r>
          </w:p>
        </w:tc>
        <w:tc>
          <w:tcPr>
            <w:tcW w:w="425" w:type="dxa"/>
            <w:vMerge w:val="restart"/>
          </w:tcPr>
          <w:p w:rsidR="00375550" w:rsidRPr="00E06CE7" w:rsidRDefault="00375550" w:rsidP="00E1456A">
            <w:pPr>
              <w:pStyle w:val="T6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E06CE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–</w:t>
            </w:r>
          </w:p>
        </w:tc>
        <w:tc>
          <w:tcPr>
            <w:tcW w:w="567" w:type="dxa"/>
            <w:vMerge w:val="restart"/>
          </w:tcPr>
          <w:p w:rsidR="00375550" w:rsidRPr="00E06CE7" w:rsidRDefault="00375550" w:rsidP="00E1456A">
            <w:pPr>
              <w:pStyle w:val="T6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E06CE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–</w:t>
            </w:r>
          </w:p>
        </w:tc>
      </w:tr>
      <w:tr w:rsidR="00375550" w:rsidTr="00375550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534" w:type="dxa"/>
            <w:vMerge/>
          </w:tcPr>
          <w:p w:rsidR="00375550" w:rsidRDefault="00375550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2127" w:type="dxa"/>
            <w:gridSpan w:val="3"/>
            <w:vMerge/>
          </w:tcPr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375550" w:rsidRPr="00E06CE7" w:rsidRDefault="00375550" w:rsidP="00375550">
            <w:pPr>
              <w:pStyle w:val="T6balTablazat"/>
              <w:spacing w:line="240" w:lineRule="auto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E06CE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a) </w:t>
            </w:r>
            <w:proofErr w:type="spellStart"/>
            <w:r w:rsidRPr="00E06CE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a</w:t>
            </w:r>
            <w:proofErr w:type="spellEnd"/>
            <w:r w:rsidRPr="00E06CE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 miniszter irányítása, felügyelete alá tartozó szervezet és a miniszter felelősségi körébe tartozó feladat, szakmai program támogatására, így különösen</w:t>
            </w:r>
          </w:p>
          <w:p w:rsidR="00375550" w:rsidRPr="00E06CE7" w:rsidRDefault="00375550" w:rsidP="00375550">
            <w:pPr>
              <w:pStyle w:val="T6balTablazat"/>
              <w:spacing w:line="240" w:lineRule="auto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proofErr w:type="spellStart"/>
            <w:r w:rsidRPr="00E06CE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aa</w:t>
            </w:r>
            <w:proofErr w:type="spellEnd"/>
            <w:r w:rsidRPr="00E06CE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) kutatási, valamint kulturális célú támogatásokra,</w:t>
            </w:r>
          </w:p>
          <w:p w:rsidR="00375550" w:rsidRPr="00E06CE7" w:rsidRDefault="00375550" w:rsidP="00375550">
            <w:pPr>
              <w:pStyle w:val="T6balTablazat"/>
              <w:spacing w:line="240" w:lineRule="auto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E06CE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ab) a miniszter személyéhez kötődő egyéb szakmai rendezvényekre és az ehhez kapcsolódó kommunikációs feladatokra,</w:t>
            </w:r>
          </w:p>
          <w:p w:rsidR="00375550" w:rsidRPr="00E06CE7" w:rsidRDefault="00375550" w:rsidP="00375550">
            <w:pPr>
              <w:pStyle w:val="T6balTablazat"/>
              <w:spacing w:line="240" w:lineRule="auto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proofErr w:type="spellStart"/>
            <w:r w:rsidRPr="00E06CE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ac</w:t>
            </w:r>
            <w:proofErr w:type="spellEnd"/>
            <w:r w:rsidRPr="00E06CE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) a központi forrásokból nem finanszírozott fejezeti feladatokhoz szükséges kiadások teljesítésére,</w:t>
            </w:r>
          </w:p>
          <w:p w:rsidR="00375550" w:rsidRPr="00E06CE7" w:rsidRDefault="00375550" w:rsidP="00375550">
            <w:pPr>
              <w:pStyle w:val="T6balTablazat"/>
              <w:spacing w:line="240" w:lineRule="auto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E06CE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ad) a miniszter által adott kitüntetések, díjak és egyéb elismerések egyes kiadásainak fedezetére;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75550" w:rsidRPr="00E06CE7" w:rsidRDefault="00375550" w:rsidP="00D2408C">
            <w:pPr>
              <w:pStyle w:val="T6balTablazat"/>
              <w:spacing w:line="240" w:lineRule="auto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E06CE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a) költségvetési szerv, gazdálkodó szervezet, államháztartáson belüli szervezet, fejezeti kezelésű előirányzat, államháztartáson kívüli jogi személy vagy jogi személyiség nélküli szervezet, nemzetközi szerveze</w:t>
            </w:r>
            <w:r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t</w:t>
            </w:r>
          </w:p>
        </w:tc>
        <w:tc>
          <w:tcPr>
            <w:tcW w:w="1134" w:type="dxa"/>
            <w:vMerge/>
          </w:tcPr>
          <w:p w:rsidR="00375550" w:rsidRDefault="00375550">
            <w:pPr>
              <w:spacing w:after="0"/>
              <w:ind w:left="17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375550" w:rsidRDefault="00375550">
            <w:pPr>
              <w:spacing w:after="0"/>
              <w:ind w:left="17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375550" w:rsidRDefault="00375550">
            <w:pPr>
              <w:spacing w:after="0"/>
              <w:ind w:left="17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375550" w:rsidRDefault="00375550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375550" w:rsidRDefault="00375550">
            <w:pPr>
              <w:spacing w:after="0"/>
              <w:ind w:left="17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375550" w:rsidRDefault="00375550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375550" w:rsidRDefault="00375550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375550" w:rsidRDefault="00375550">
            <w:pPr>
              <w:spacing w:after="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375550" w:rsidTr="00375550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534" w:type="dxa"/>
            <w:vMerge/>
          </w:tcPr>
          <w:p w:rsidR="00375550" w:rsidRDefault="00375550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2127" w:type="dxa"/>
            <w:gridSpan w:val="3"/>
            <w:vMerge/>
          </w:tcPr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375550" w:rsidRPr="00E06CE7" w:rsidRDefault="00375550" w:rsidP="00375550">
            <w:pPr>
              <w:pStyle w:val="T6balTablazat"/>
              <w:spacing w:line="240" w:lineRule="auto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E06CE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b) a közpolitikai céllal összefüggő jogtudományi kutatásokhoz és jogtudományi tanulmányi tehetséggondozási rendszer kialakításához, valamint tartós működtetéséhez biztosítandó támogatásra, így különösen</w:t>
            </w:r>
          </w:p>
          <w:p w:rsidR="00375550" w:rsidRPr="00E06CE7" w:rsidRDefault="00375550" w:rsidP="00375550">
            <w:pPr>
              <w:pStyle w:val="T6balTablazat"/>
              <w:spacing w:line="240" w:lineRule="auto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proofErr w:type="spellStart"/>
            <w:r w:rsidRPr="00E06CE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ba</w:t>
            </w:r>
            <w:proofErr w:type="spellEnd"/>
            <w:r w:rsidRPr="00E06CE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) az egyes vidéki egyetemeken, nappali tagozaton tanuló, az osztatlan jogász mesterszakon hallgatói jogviszonnyal rendelkezők kiemelkedő tanulmányi eredményéhez és a tudományos munkában történő aktív közreműködéséhez,</w:t>
            </w:r>
          </w:p>
          <w:p w:rsidR="00375550" w:rsidRPr="00E06CE7" w:rsidRDefault="00375550" w:rsidP="00375550">
            <w:pPr>
              <w:pStyle w:val="T6balTablazat"/>
              <w:spacing w:line="240" w:lineRule="auto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proofErr w:type="spellStart"/>
            <w:r w:rsidRPr="00E06CE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bb</w:t>
            </w:r>
            <w:proofErr w:type="spellEnd"/>
            <w:r w:rsidRPr="00E06CE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) állam- és jogtudományi témakörben folytatott tudományos munka, oktatási, kutatási tevékenység végzéséhez,</w:t>
            </w:r>
          </w:p>
          <w:p w:rsidR="00375550" w:rsidRPr="00E06CE7" w:rsidRDefault="00375550" w:rsidP="00D2408C">
            <w:pPr>
              <w:pStyle w:val="T6balTablazat"/>
              <w:spacing w:line="240" w:lineRule="auto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proofErr w:type="spellStart"/>
            <w:r w:rsidRPr="00E06CE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bc</w:t>
            </w:r>
            <w:proofErr w:type="spellEnd"/>
            <w:r w:rsidRPr="00E06CE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) a felhasználással összefüggésben a minisztériumnál, illetve az egyetemeknél felmerülő egyes kiadások fedezetére;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75550" w:rsidRPr="00E06CE7" w:rsidRDefault="00375550" w:rsidP="00D2408C">
            <w:pPr>
              <w:pStyle w:val="T6balTablazat"/>
              <w:spacing w:line="240" w:lineRule="auto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E06CE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b) költségvetési szerv, államháztartáson kívüli jogi személy vagy jogi személyiség nélküli szervezet</w:t>
            </w:r>
          </w:p>
        </w:tc>
        <w:tc>
          <w:tcPr>
            <w:tcW w:w="1134" w:type="dxa"/>
            <w:vMerge/>
          </w:tcPr>
          <w:p w:rsidR="00375550" w:rsidRDefault="00375550">
            <w:pPr>
              <w:spacing w:after="0"/>
              <w:ind w:left="17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375550" w:rsidRDefault="00375550">
            <w:pPr>
              <w:spacing w:after="0"/>
              <w:ind w:left="17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375550" w:rsidRDefault="00375550">
            <w:pPr>
              <w:spacing w:after="0"/>
              <w:ind w:left="17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375550" w:rsidRDefault="00375550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375550" w:rsidRDefault="00375550">
            <w:pPr>
              <w:spacing w:after="0"/>
              <w:ind w:left="17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375550" w:rsidRDefault="00375550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375550" w:rsidRDefault="00375550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375550" w:rsidRDefault="00375550">
            <w:pPr>
              <w:spacing w:after="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375550" w:rsidTr="00375550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534" w:type="dxa"/>
            <w:vMerge/>
          </w:tcPr>
          <w:p w:rsidR="00375550" w:rsidRDefault="00375550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2127" w:type="dxa"/>
            <w:gridSpan w:val="3"/>
            <w:vMerge/>
          </w:tcPr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375550" w:rsidRPr="00E06CE7" w:rsidRDefault="00375550" w:rsidP="00375550">
            <w:pPr>
              <w:pStyle w:val="T6balTablazat"/>
              <w:spacing w:line="240" w:lineRule="auto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E06CE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c) a minisztérium közfeladatai ellátásához a jogszabályalkotás során az igazságszolgáltatásban tetemes tapasztalatot szerzett szakemberek időszaki bevonásával felmerülő kiadások fedezetére, így különösen a kirendelésükre vonatkozó jogszabályok alapján – a folyamatos feladatellátás biztosítása érdekében – a foglalkoztatásukhoz szükséges források fedezetére;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75550" w:rsidRPr="00E06CE7" w:rsidRDefault="00375550" w:rsidP="00D2408C">
            <w:pPr>
              <w:pStyle w:val="T6balTablazat"/>
              <w:spacing w:line="240" w:lineRule="auto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E06CE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c) költségvetési szerv, államháztartáson kívüli jogi személy vagy jogi személyiség nélküli szervezet, természetes személy</w:t>
            </w:r>
          </w:p>
        </w:tc>
        <w:tc>
          <w:tcPr>
            <w:tcW w:w="1134" w:type="dxa"/>
            <w:vMerge/>
          </w:tcPr>
          <w:p w:rsidR="00375550" w:rsidRDefault="00375550">
            <w:pPr>
              <w:spacing w:after="0"/>
              <w:ind w:left="17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375550" w:rsidRDefault="00375550">
            <w:pPr>
              <w:spacing w:after="0"/>
              <w:ind w:left="17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375550" w:rsidRDefault="00375550">
            <w:pPr>
              <w:spacing w:after="0"/>
              <w:ind w:left="17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375550" w:rsidRDefault="00375550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375550" w:rsidRDefault="00375550">
            <w:pPr>
              <w:spacing w:after="0"/>
              <w:ind w:left="17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375550" w:rsidRDefault="00375550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375550" w:rsidRDefault="00375550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375550" w:rsidRDefault="00375550">
            <w:pPr>
              <w:spacing w:after="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375550" w:rsidTr="00375550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534" w:type="dxa"/>
            <w:vMerge/>
          </w:tcPr>
          <w:p w:rsidR="00375550" w:rsidRDefault="00375550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2127" w:type="dxa"/>
            <w:gridSpan w:val="3"/>
            <w:vMerge/>
          </w:tcPr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375550" w:rsidRPr="00E06CE7" w:rsidRDefault="00375550" w:rsidP="00375550">
            <w:pPr>
              <w:pStyle w:val="T6balTablazat"/>
              <w:spacing w:line="240" w:lineRule="auto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E06CE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d) a nemzetközi szervezeti tagságból adódó tagdíjak és ugyanezen szervezeteknek fizetendő tagállami hozzájárulásból adódó – megállapodáson vagy a nemzetközi szervezet belső előírásán alapuló – egyéb költségek, valamint a nemzetközi szervezetek üléseinek tartalmi előkészítéséhez szükséges szakértői munkák finanszírozására, a miniszter felelősségi körébe tartozó valamennyi nemzetközi kötelezettséggel összefüggő kiadások, továbbá a miniszter felelősségi körébe tartozó feladatokkal összefüggő fordítási díjak fedezetére;</w:t>
            </w:r>
          </w:p>
          <w:p w:rsidR="00375550" w:rsidRPr="00E06CE7" w:rsidRDefault="00375550" w:rsidP="00D2408C">
            <w:pPr>
              <w:pStyle w:val="T6balTablazat"/>
              <w:spacing w:line="240" w:lineRule="auto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75550" w:rsidRPr="00E06CE7" w:rsidRDefault="00375550" w:rsidP="00375550">
            <w:pPr>
              <w:pStyle w:val="T6balTablazat"/>
              <w:spacing w:line="240" w:lineRule="auto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E06CE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d) nemzetközi szervezet, államháztartáson belüli szervezet, államháztartáson kívüli jogi személy vagy jogi személyiség nélküli szervezet, természetes személy</w:t>
            </w:r>
          </w:p>
          <w:p w:rsidR="00375550" w:rsidRPr="00E06CE7" w:rsidRDefault="00375550" w:rsidP="00D2408C">
            <w:pPr>
              <w:pStyle w:val="T6balTablazat"/>
              <w:spacing w:line="240" w:lineRule="auto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375550" w:rsidRDefault="00375550">
            <w:pPr>
              <w:spacing w:after="0"/>
              <w:ind w:left="17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375550" w:rsidRDefault="00375550">
            <w:pPr>
              <w:spacing w:after="0"/>
              <w:ind w:left="17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375550" w:rsidRDefault="00375550">
            <w:pPr>
              <w:spacing w:after="0"/>
              <w:ind w:left="17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375550" w:rsidRDefault="00375550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375550" w:rsidRDefault="00375550">
            <w:pPr>
              <w:spacing w:after="0"/>
              <w:ind w:left="17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375550" w:rsidRDefault="00375550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375550" w:rsidRDefault="00375550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375550" w:rsidRDefault="00375550">
            <w:pPr>
              <w:spacing w:after="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375550" w:rsidTr="00375550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534" w:type="dxa"/>
            <w:vMerge/>
          </w:tcPr>
          <w:p w:rsidR="00375550" w:rsidRDefault="00375550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2127" w:type="dxa"/>
            <w:gridSpan w:val="3"/>
            <w:vMerge/>
          </w:tcPr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375550" w:rsidRPr="00E06CE7" w:rsidRDefault="00375550" w:rsidP="00375550">
            <w:pPr>
              <w:pStyle w:val="T6balTablazat"/>
              <w:spacing w:line="240" w:lineRule="auto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E06CE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e) a határon átnyúló tartási ügyekben történő központi hatósági feladatok végrehajtásával összefüggő pénzügyi műveletek elszámolására;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75550" w:rsidRPr="00E06CE7" w:rsidRDefault="00375550" w:rsidP="00D2408C">
            <w:pPr>
              <w:pStyle w:val="T6balTablazat"/>
              <w:spacing w:line="240" w:lineRule="auto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E06CE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e) természetes személy</w:t>
            </w:r>
          </w:p>
        </w:tc>
        <w:tc>
          <w:tcPr>
            <w:tcW w:w="1134" w:type="dxa"/>
            <w:vMerge/>
          </w:tcPr>
          <w:p w:rsidR="00375550" w:rsidRDefault="00375550">
            <w:pPr>
              <w:spacing w:after="0"/>
              <w:ind w:left="17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375550" w:rsidRDefault="00375550">
            <w:pPr>
              <w:spacing w:after="0"/>
              <w:ind w:left="17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375550" w:rsidRDefault="00375550">
            <w:pPr>
              <w:spacing w:after="0"/>
              <w:ind w:left="17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375550" w:rsidRDefault="00375550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375550" w:rsidRDefault="00375550">
            <w:pPr>
              <w:spacing w:after="0"/>
              <w:ind w:left="17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375550" w:rsidRDefault="00375550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375550" w:rsidRDefault="00375550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375550" w:rsidRDefault="00375550">
            <w:pPr>
              <w:spacing w:after="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375550" w:rsidTr="00375550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534" w:type="dxa"/>
            <w:vMerge/>
          </w:tcPr>
          <w:p w:rsidR="00375550" w:rsidRDefault="00375550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2127" w:type="dxa"/>
            <w:gridSpan w:val="3"/>
            <w:vMerge/>
          </w:tcPr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375550" w:rsidRPr="00E06CE7" w:rsidRDefault="00375550" w:rsidP="00D2408C">
            <w:pPr>
              <w:pStyle w:val="T6balTablazat"/>
              <w:spacing w:line="240" w:lineRule="auto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E06CE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f) az Európai Unió tanácsi ülésein való részvétellel kapcsolatban felmerülő utazási költségekkel összefüggő pénzügyi műveletek elszámolására;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75550" w:rsidRPr="00E06CE7" w:rsidRDefault="00375550" w:rsidP="00D2408C">
            <w:pPr>
              <w:pStyle w:val="T6balTablazat"/>
              <w:spacing w:line="240" w:lineRule="auto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E06CE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f) költségvetési szerv, államháztartáson kívüli jogi személy</w:t>
            </w:r>
          </w:p>
        </w:tc>
        <w:tc>
          <w:tcPr>
            <w:tcW w:w="1134" w:type="dxa"/>
            <w:vMerge/>
          </w:tcPr>
          <w:p w:rsidR="00375550" w:rsidRDefault="00375550">
            <w:pPr>
              <w:spacing w:after="0"/>
              <w:ind w:left="17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375550" w:rsidRDefault="00375550">
            <w:pPr>
              <w:spacing w:after="0"/>
              <w:ind w:left="17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375550" w:rsidRDefault="00375550">
            <w:pPr>
              <w:spacing w:after="0"/>
              <w:ind w:left="17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375550" w:rsidRDefault="00375550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375550" w:rsidRDefault="00375550">
            <w:pPr>
              <w:spacing w:after="0"/>
              <w:ind w:left="17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375550" w:rsidRDefault="00375550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375550" w:rsidRDefault="00375550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375550" w:rsidRDefault="00375550">
            <w:pPr>
              <w:spacing w:after="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375550" w:rsidTr="00375550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534" w:type="dxa"/>
            <w:vMerge/>
          </w:tcPr>
          <w:p w:rsidR="00375550" w:rsidRDefault="00375550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2127" w:type="dxa"/>
            <w:gridSpan w:val="3"/>
            <w:vMerge/>
          </w:tcPr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375550" w:rsidRPr="00E06CE7" w:rsidRDefault="00375550" w:rsidP="00D2408C">
            <w:pPr>
              <w:pStyle w:val="T6balTablazat"/>
              <w:spacing w:line="240" w:lineRule="auto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E06CE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g) a fogyasztóvédelemért való felelősségi körrel összefüggő támogatások biztosítására, így különösen</w:t>
            </w:r>
          </w:p>
          <w:p w:rsidR="00375550" w:rsidRPr="00E06CE7" w:rsidRDefault="00375550" w:rsidP="00D2408C">
            <w:pPr>
              <w:pStyle w:val="T6balTablazat"/>
              <w:spacing w:line="240" w:lineRule="auto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proofErr w:type="spellStart"/>
            <w:r w:rsidRPr="00E06CE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ga</w:t>
            </w:r>
            <w:proofErr w:type="spellEnd"/>
            <w:r w:rsidRPr="00E06CE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) a fogyasztói érdekek képviseletét ellátó egyesületek támogatására, a fogyasztói tudatosság növelésére irányuló egyesületi tevékenységek ellátásának segítésére,</w:t>
            </w:r>
          </w:p>
          <w:p w:rsidR="00375550" w:rsidRPr="00E06CE7" w:rsidRDefault="00375550" w:rsidP="00D2408C">
            <w:pPr>
              <w:pStyle w:val="T6balTablazat"/>
              <w:spacing w:line="240" w:lineRule="auto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proofErr w:type="spellStart"/>
            <w:r w:rsidRPr="00E06CE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gb</w:t>
            </w:r>
            <w:proofErr w:type="spellEnd"/>
            <w:r w:rsidRPr="00E06CE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) a megyei (fővárosi) kereskedelmi és iparkamarák által működtetett békéltető testületi tevékenységek segítésére,</w:t>
            </w:r>
          </w:p>
          <w:p w:rsidR="00375550" w:rsidRPr="00E06CE7" w:rsidRDefault="00375550" w:rsidP="00D2408C">
            <w:pPr>
              <w:pStyle w:val="T6balTablazat"/>
              <w:spacing w:line="240" w:lineRule="auto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proofErr w:type="spellStart"/>
            <w:r w:rsidRPr="00E06CE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gc</w:t>
            </w:r>
            <w:proofErr w:type="spellEnd"/>
            <w:r w:rsidRPr="00E06CE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) az előirányzat felhasználásával összefüggésben a minisztériumnál vagy más szervezetnél felmerülő egyes kiadások fedezetére;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75550" w:rsidRPr="00E06CE7" w:rsidRDefault="00375550" w:rsidP="00D2408C">
            <w:pPr>
              <w:pStyle w:val="T6balTablazat"/>
              <w:spacing w:line="240" w:lineRule="auto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E06CE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g) gazdálkodó szervezet, köztestület, államháztartáson belüli szervezet, államháztartáson kívüli jogi személy vagy jogi személyiség nélküli szervezet</w:t>
            </w:r>
          </w:p>
        </w:tc>
        <w:tc>
          <w:tcPr>
            <w:tcW w:w="1134" w:type="dxa"/>
            <w:vMerge/>
          </w:tcPr>
          <w:p w:rsidR="00375550" w:rsidRDefault="00375550">
            <w:pPr>
              <w:spacing w:after="0"/>
              <w:ind w:left="17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375550" w:rsidRDefault="00375550">
            <w:pPr>
              <w:spacing w:after="0"/>
              <w:ind w:left="17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375550" w:rsidRDefault="00375550">
            <w:pPr>
              <w:spacing w:after="0"/>
              <w:ind w:left="17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375550" w:rsidRDefault="00375550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375550" w:rsidRDefault="00375550">
            <w:pPr>
              <w:spacing w:after="0"/>
              <w:ind w:left="17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375550" w:rsidRDefault="00375550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375550" w:rsidRDefault="00375550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375550" w:rsidRDefault="00375550">
            <w:pPr>
              <w:spacing w:after="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375550" w:rsidTr="00375550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534" w:type="dxa"/>
            <w:vMerge/>
          </w:tcPr>
          <w:p w:rsidR="00375550" w:rsidRDefault="00375550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2127" w:type="dxa"/>
            <w:gridSpan w:val="3"/>
            <w:vMerge/>
          </w:tcPr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375550" w:rsidRDefault="00375550" w:rsidP="00D2408C">
            <w:pPr>
              <w:pStyle w:val="T6balTablazat"/>
              <w:spacing w:line="240" w:lineRule="auto"/>
              <w:rPr>
                <w:sz w:val="14"/>
                <w:szCs w:val="14"/>
              </w:rPr>
            </w:pPr>
            <w:r w:rsidRPr="00E06CE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h) az állatvédelem, valamint a felelős állattartás fejlesztésével és népszerűsítésével, továbbá az állatvédelmi cselekvési tervben foglalt egyéb célkitűzések megvalósításával kapcsolatos feladatok hatékony ellátásának támogatására;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75550" w:rsidRDefault="00375550" w:rsidP="00D2408C">
            <w:pPr>
              <w:pStyle w:val="T6balTablazat"/>
              <w:spacing w:line="240" w:lineRule="auto"/>
              <w:rPr>
                <w:sz w:val="14"/>
                <w:szCs w:val="14"/>
              </w:rPr>
            </w:pPr>
            <w:r w:rsidRPr="00E06CE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h) költségvetési szerv, gazdálkodó szervezet, államháztartáson belüli szervezet, államháztartáson kívüli jogi személy vagy jogi személyiség nélküli szervezet</w:t>
            </w:r>
          </w:p>
        </w:tc>
        <w:tc>
          <w:tcPr>
            <w:tcW w:w="1134" w:type="dxa"/>
            <w:vMerge/>
          </w:tcPr>
          <w:p w:rsidR="00375550" w:rsidRDefault="00375550">
            <w:pPr>
              <w:spacing w:after="0"/>
              <w:ind w:left="17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375550" w:rsidRDefault="00375550">
            <w:pPr>
              <w:spacing w:after="0"/>
              <w:ind w:left="17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375550" w:rsidRDefault="00375550">
            <w:pPr>
              <w:spacing w:after="0"/>
              <w:ind w:left="17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375550" w:rsidRDefault="00375550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375550" w:rsidRDefault="00375550">
            <w:pPr>
              <w:spacing w:after="0"/>
              <w:ind w:left="17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375550" w:rsidRDefault="00375550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375550" w:rsidRDefault="00375550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375550" w:rsidRDefault="00375550">
            <w:pPr>
              <w:spacing w:after="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375550" w:rsidTr="00375550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534" w:type="dxa"/>
            <w:vMerge/>
            <w:tcBorders>
              <w:bottom w:val="nil"/>
            </w:tcBorders>
          </w:tcPr>
          <w:p w:rsidR="00375550" w:rsidRDefault="00375550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2127" w:type="dxa"/>
            <w:gridSpan w:val="3"/>
            <w:vMerge/>
            <w:tcBorders>
              <w:bottom w:val="nil"/>
            </w:tcBorders>
          </w:tcPr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2641" w:type="dxa"/>
            <w:tcBorders>
              <w:top w:val="nil"/>
              <w:bottom w:val="single" w:sz="4" w:space="0" w:color="auto"/>
            </w:tcBorders>
          </w:tcPr>
          <w:p w:rsidR="00375550" w:rsidRDefault="00375550">
            <w:pPr>
              <w:spacing w:after="0"/>
              <w:ind w:left="38" w:firstLine="0"/>
              <w:jc w:val="left"/>
              <w:rPr>
                <w:sz w:val="14"/>
                <w:szCs w:val="14"/>
              </w:rPr>
            </w:pPr>
            <w:r w:rsidRPr="00E06CE7">
              <w:rPr>
                <w:sz w:val="14"/>
                <w:szCs w:val="14"/>
              </w:rPr>
              <w:t>i) az előre nem tervezett, de az év közben szükségessé váló feladatok megoldására, eseti jellegű, elháríthatatlan igények finanszírozására.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375550" w:rsidRDefault="00375550">
            <w:pPr>
              <w:spacing w:after="0"/>
              <w:ind w:left="28" w:firstLine="0"/>
              <w:jc w:val="left"/>
              <w:rPr>
                <w:sz w:val="14"/>
                <w:szCs w:val="14"/>
              </w:rPr>
            </w:pPr>
            <w:r w:rsidRPr="00E06CE7">
              <w:rPr>
                <w:sz w:val="14"/>
                <w:szCs w:val="14"/>
              </w:rPr>
              <w:t>i) költségvetési szerv, gazdálkodó szervezet, államháztartáson belüli szervezet, fejezeti kezelésű előirányzat, államháztartáson kívüli jogi személy vagy jogi személyiség nélküli szervezet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375550" w:rsidRDefault="00375550">
            <w:pPr>
              <w:spacing w:after="0"/>
              <w:ind w:left="17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375550" w:rsidRDefault="00375550">
            <w:pPr>
              <w:spacing w:after="0"/>
              <w:ind w:left="17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375550" w:rsidRDefault="00375550">
            <w:pPr>
              <w:spacing w:after="0"/>
              <w:ind w:left="17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375550" w:rsidRDefault="00375550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375550" w:rsidRDefault="00375550">
            <w:pPr>
              <w:spacing w:after="0"/>
              <w:ind w:left="17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375550" w:rsidRDefault="00375550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375550" w:rsidRDefault="00375550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375550" w:rsidRDefault="00375550">
            <w:pPr>
              <w:spacing w:after="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375550" w:rsidTr="00375550">
        <w:tblPrEx>
          <w:tblCellMar>
            <w:top w:w="0" w:type="dxa"/>
            <w:bottom w:w="0" w:type="dxa"/>
          </w:tblCellMar>
        </w:tblPrEx>
        <w:trPr>
          <w:cantSplit/>
          <w:trHeight w:val="3391"/>
        </w:trPr>
        <w:tc>
          <w:tcPr>
            <w:tcW w:w="534" w:type="dxa"/>
            <w:vMerge w:val="restart"/>
          </w:tcPr>
          <w:p w:rsidR="00375550" w:rsidRDefault="00375550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3</w:t>
            </w:r>
          </w:p>
        </w:tc>
        <w:tc>
          <w:tcPr>
            <w:tcW w:w="708" w:type="dxa"/>
            <w:vMerge w:val="restart"/>
          </w:tcPr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385539</w:t>
            </w:r>
          </w:p>
        </w:tc>
        <w:tc>
          <w:tcPr>
            <w:tcW w:w="567" w:type="dxa"/>
            <w:vMerge w:val="restart"/>
          </w:tcPr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2127" w:type="dxa"/>
            <w:gridSpan w:val="3"/>
            <w:vMerge w:val="restart"/>
          </w:tcPr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Igazságügyi miniszter feladatkörébe tartozó jogszabályok alapján teljesítendő fizetési kötelezettségek</w:t>
            </w:r>
          </w:p>
        </w:tc>
        <w:tc>
          <w:tcPr>
            <w:tcW w:w="2641" w:type="dxa"/>
            <w:tcBorders>
              <w:top w:val="single" w:sz="4" w:space="0" w:color="auto"/>
              <w:bottom w:val="nil"/>
            </w:tcBorders>
          </w:tcPr>
          <w:p w:rsidR="00375550" w:rsidRDefault="00375550">
            <w:pPr>
              <w:spacing w:after="0"/>
              <w:ind w:left="38"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a)</w:t>
            </w:r>
            <w:r w:rsidR="00027C9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Az előirányzat felhasználható </w:t>
            </w:r>
            <w:r>
              <w:rPr>
                <w:sz w:val="14"/>
                <w:szCs w:val="14"/>
              </w:rPr>
              <w:br/>
              <w:t>a büntetőeljárásról szóló törvény alapján</w:t>
            </w:r>
          </w:p>
          <w:p w:rsidR="00375550" w:rsidRDefault="00375550">
            <w:pPr>
              <w:spacing w:after="0"/>
              <w:ind w:left="38" w:firstLine="0"/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aa</w:t>
            </w:r>
            <w:proofErr w:type="spellEnd"/>
            <w:r>
              <w:rPr>
                <w:sz w:val="14"/>
                <w:szCs w:val="14"/>
              </w:rPr>
              <w:t xml:space="preserve">) az egyszerűsített kártalanítási eljárás során létrejött írásbeli megállapodásban megállapított kártalanítás, </w:t>
            </w:r>
          </w:p>
          <w:p w:rsidR="00375550" w:rsidRDefault="00375550">
            <w:pPr>
              <w:spacing w:after="0"/>
              <w:ind w:left="38"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ab) az állam ellen indított kártalanítási és kártérítési perben</w:t>
            </w:r>
          </w:p>
          <w:p w:rsidR="00375550" w:rsidRDefault="00375550">
            <w:pPr>
              <w:spacing w:after="0"/>
              <w:ind w:left="38"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 felperes részére a jogerős bírósági határozatban megállapított kártalanítás és kártérítés, </w:t>
            </w:r>
          </w:p>
          <w:p w:rsidR="00375550" w:rsidRDefault="00375550">
            <w:pPr>
              <w:spacing w:after="0"/>
              <w:ind w:left="38" w:firstLine="0"/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ac</w:t>
            </w:r>
            <w:proofErr w:type="spellEnd"/>
            <w:r>
              <w:rPr>
                <w:sz w:val="14"/>
                <w:szCs w:val="14"/>
              </w:rPr>
              <w:t xml:space="preserve">) az </w:t>
            </w:r>
            <w:proofErr w:type="spellStart"/>
            <w:r>
              <w:rPr>
                <w:sz w:val="14"/>
                <w:szCs w:val="14"/>
              </w:rPr>
              <w:t>aa</w:t>
            </w:r>
            <w:proofErr w:type="spellEnd"/>
            <w:r>
              <w:rPr>
                <w:sz w:val="14"/>
                <w:szCs w:val="14"/>
              </w:rPr>
              <w:t>)–ab) pontokban rögzítettek járulékai, az ezekkel összefüggő banki, kincstári díjak, jutalékok, költségek és postaköltség megfizetésére.</w:t>
            </w:r>
          </w:p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  <w:p w:rsidR="00375550" w:rsidRDefault="00375550">
            <w:pPr>
              <w:spacing w:after="0"/>
              <w:ind w:left="38"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perekkel összefüggésben az államot megillető, befolyt követeléseket az előirányzat javára, a beszedéssel kapcsolatban teljesített kiadásokat az előirányzat terhére kell elszámolni.</w:t>
            </w:r>
          </w:p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375550" w:rsidRDefault="00375550">
            <w:pPr>
              <w:spacing w:after="0"/>
              <w:ind w:left="28"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a)</w:t>
            </w:r>
            <w:r w:rsidR="00027C9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természetes személy, jogi személy</w:t>
            </w:r>
          </w:p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:rsidR="00375550" w:rsidRDefault="00375550">
            <w:pPr>
              <w:spacing w:after="0"/>
              <w:ind w:left="17"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kifizetésre más fizetési kötelezettségek alapján kerül sor.</w:t>
            </w:r>
          </w:p>
        </w:tc>
        <w:tc>
          <w:tcPr>
            <w:tcW w:w="850" w:type="dxa"/>
            <w:vMerge w:val="restart"/>
          </w:tcPr>
          <w:p w:rsidR="00375550" w:rsidRDefault="00375550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75" w:type="dxa"/>
            <w:vMerge w:val="restart"/>
          </w:tcPr>
          <w:p w:rsidR="00375550" w:rsidRDefault="00375550">
            <w:pPr>
              <w:spacing w:after="0"/>
              <w:ind w:left="17"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közvetlen kifizetés </w:t>
            </w:r>
            <w:r>
              <w:rPr>
                <w:sz w:val="14"/>
                <w:szCs w:val="14"/>
              </w:rPr>
              <w:br/>
              <w:t>a vonatkozó jogszabályokban foglaltak szerint</w:t>
            </w:r>
          </w:p>
        </w:tc>
        <w:tc>
          <w:tcPr>
            <w:tcW w:w="709" w:type="dxa"/>
            <w:vMerge w:val="restart"/>
          </w:tcPr>
          <w:p w:rsidR="00375550" w:rsidRDefault="00375550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134" w:type="dxa"/>
            <w:vMerge w:val="restart"/>
          </w:tcPr>
          <w:p w:rsidR="00375550" w:rsidRDefault="00375550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567" w:type="dxa"/>
            <w:vMerge w:val="restart"/>
          </w:tcPr>
          <w:p w:rsidR="00375550" w:rsidRDefault="00375550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425" w:type="dxa"/>
            <w:vMerge w:val="restart"/>
          </w:tcPr>
          <w:p w:rsidR="00375550" w:rsidRDefault="00375550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567" w:type="dxa"/>
            <w:vMerge w:val="restart"/>
          </w:tcPr>
          <w:p w:rsidR="00375550" w:rsidRDefault="00375550">
            <w:pPr>
              <w:spacing w:after="0" w:line="48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</w:tr>
      <w:tr w:rsidR="00375550">
        <w:tblPrEx>
          <w:tblCellMar>
            <w:top w:w="0" w:type="dxa"/>
            <w:bottom w:w="0" w:type="dxa"/>
          </w:tblCellMar>
        </w:tblPrEx>
        <w:trPr>
          <w:cantSplit/>
          <w:trHeight w:val="4140"/>
        </w:trPr>
        <w:tc>
          <w:tcPr>
            <w:tcW w:w="534" w:type="dxa"/>
            <w:vMerge/>
          </w:tcPr>
          <w:p w:rsidR="00375550" w:rsidRDefault="00375550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2127" w:type="dxa"/>
            <w:gridSpan w:val="3"/>
            <w:vMerge/>
          </w:tcPr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375550" w:rsidRDefault="00375550">
            <w:pPr>
              <w:spacing w:after="0"/>
              <w:ind w:left="38"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b)</w:t>
            </w:r>
            <w:r w:rsidR="00027C9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Az előirányzat felhasználható a jogi segítségnyújtásról szóló 2003. évi </w:t>
            </w:r>
            <w:r>
              <w:rPr>
                <w:sz w:val="14"/>
                <w:szCs w:val="14"/>
              </w:rPr>
              <w:br/>
              <w:t xml:space="preserve">LXXX. törvény (a továbbiakban: </w:t>
            </w:r>
            <w:proofErr w:type="spellStart"/>
            <w:r>
              <w:rPr>
                <w:sz w:val="14"/>
                <w:szCs w:val="14"/>
              </w:rPr>
              <w:t>Jst</w:t>
            </w:r>
            <w:proofErr w:type="spellEnd"/>
            <w:r>
              <w:rPr>
                <w:sz w:val="14"/>
                <w:szCs w:val="14"/>
              </w:rPr>
              <w:t xml:space="preserve">.) alapján, a peren kívüli támogatások esetén a jogi szolgáltatást végző jogi segítő díjának állam általi térítésére vagy megelőlegezésére, a polgári és </w:t>
            </w:r>
            <w:bookmarkStart w:id="0" w:name="_GoBack"/>
            <w:bookmarkEnd w:id="0"/>
            <w:r>
              <w:rPr>
                <w:sz w:val="14"/>
                <w:szCs w:val="14"/>
              </w:rPr>
              <w:t>büntető eljárásokban a fél helyett az állam által kifizetendő vagy előlegezendő pártfogó ügyvéd díjának megfizetésére vagy</w:t>
            </w:r>
          </w:p>
          <w:p w:rsidR="00375550" w:rsidRDefault="00375550">
            <w:pPr>
              <w:spacing w:after="0"/>
              <w:ind w:left="38"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megelőlegezésre, az ezzel kapcsolatos banki és postaköltség kifizetésére. </w:t>
            </w:r>
          </w:p>
          <w:p w:rsidR="00375550" w:rsidRDefault="00375550">
            <w:pPr>
              <w:spacing w:after="0"/>
              <w:ind w:left="38" w:firstLine="0"/>
              <w:jc w:val="left"/>
              <w:rPr>
                <w:sz w:val="14"/>
                <w:szCs w:val="14"/>
              </w:rPr>
            </w:pPr>
          </w:p>
          <w:p w:rsidR="00375550" w:rsidRDefault="00375550">
            <w:pPr>
              <w:spacing w:after="0"/>
              <w:ind w:left="38"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Az előirányzat fedezetet nyújt továbbá </w:t>
            </w:r>
            <w:r>
              <w:rPr>
                <w:sz w:val="14"/>
                <w:szCs w:val="14"/>
              </w:rPr>
              <w:br/>
              <w:t xml:space="preserve">az Európai Unió másik tagállamába </w:t>
            </w:r>
            <w:proofErr w:type="spellStart"/>
            <w:r>
              <w:rPr>
                <w:sz w:val="14"/>
                <w:szCs w:val="14"/>
              </w:rPr>
              <w:t>irányulójogi</w:t>
            </w:r>
            <w:proofErr w:type="spellEnd"/>
            <w:r>
              <w:rPr>
                <w:sz w:val="14"/>
                <w:szCs w:val="14"/>
              </w:rPr>
              <w:t xml:space="preserve"> segítségnyújtás iránti kérelem lefordítására kirendelt szakfordító díjának állam általi megtérítésére vagy annak megelőlegezésére, az előirányzat javára teljesítendő fizetési kötelezettség elmaradásából eredő követelések behajtása érdekében a jogi segítségnyújtó szolgálat által tett intézkedések során felmerült költségekre, így különösen </w:t>
            </w:r>
            <w:r>
              <w:rPr>
                <w:sz w:val="14"/>
                <w:szCs w:val="14"/>
              </w:rPr>
              <w:br/>
              <w:t>a végrehajtási költségre, a regisztrációs díjra és a költségtérítésre.</w:t>
            </w:r>
          </w:p>
          <w:p w:rsidR="00375550" w:rsidRDefault="00375550">
            <w:pPr>
              <w:spacing w:after="0"/>
              <w:ind w:left="38" w:firstLine="0"/>
              <w:jc w:val="left"/>
              <w:rPr>
                <w:sz w:val="14"/>
                <w:szCs w:val="14"/>
              </w:rPr>
            </w:pPr>
          </w:p>
          <w:p w:rsidR="00375550" w:rsidRDefault="00375550">
            <w:pPr>
              <w:spacing w:after="0"/>
              <w:ind w:left="38"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Az előirányzat terhére kell teljesíteni </w:t>
            </w:r>
            <w:r>
              <w:rPr>
                <w:sz w:val="14"/>
                <w:szCs w:val="14"/>
              </w:rPr>
              <w:br/>
              <w:t xml:space="preserve">a </w:t>
            </w:r>
            <w:proofErr w:type="spellStart"/>
            <w:r>
              <w:rPr>
                <w:sz w:val="14"/>
                <w:szCs w:val="14"/>
              </w:rPr>
              <w:t>Jst</w:t>
            </w:r>
            <w:proofErr w:type="spellEnd"/>
            <w:r>
              <w:rPr>
                <w:sz w:val="14"/>
                <w:szCs w:val="14"/>
              </w:rPr>
              <w:t>. 4. § (1) bekezdés f) pontjában meghatározott személy ügyében felmerülő tolmácsolási és fordítási díjat is.</w:t>
            </w:r>
          </w:p>
          <w:p w:rsidR="00375550" w:rsidRDefault="00375550">
            <w:pPr>
              <w:spacing w:after="0"/>
              <w:ind w:left="38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75550" w:rsidRDefault="00375550">
            <w:pPr>
              <w:spacing w:after="0"/>
              <w:ind w:left="28"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b)</w:t>
            </w:r>
            <w:r w:rsidR="00027C9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a </w:t>
            </w:r>
            <w:proofErr w:type="spellStart"/>
            <w:r>
              <w:rPr>
                <w:sz w:val="14"/>
                <w:szCs w:val="14"/>
              </w:rPr>
              <w:t>Jst.-ben</w:t>
            </w:r>
            <w:proofErr w:type="spellEnd"/>
            <w:r>
              <w:rPr>
                <w:sz w:val="14"/>
                <w:szCs w:val="14"/>
              </w:rPr>
              <w:t xml:space="preserve"> meghatározottak</w:t>
            </w:r>
          </w:p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375550" w:rsidRDefault="00375550">
            <w:pPr>
              <w:spacing w:after="0" w:line="480" w:lineRule="auto"/>
              <w:ind w:firstLine="0"/>
              <w:jc w:val="left"/>
              <w:rPr>
                <w:sz w:val="14"/>
                <w:szCs w:val="14"/>
              </w:rPr>
            </w:pPr>
          </w:p>
        </w:tc>
      </w:tr>
      <w:tr w:rsidR="00375550">
        <w:tblPrEx>
          <w:tblCellMar>
            <w:top w:w="0" w:type="dxa"/>
            <w:bottom w:w="0" w:type="dxa"/>
          </w:tblCellMar>
        </w:tblPrEx>
        <w:trPr>
          <w:cantSplit/>
          <w:trHeight w:val="3391"/>
        </w:trPr>
        <w:tc>
          <w:tcPr>
            <w:tcW w:w="534" w:type="dxa"/>
            <w:vMerge/>
          </w:tcPr>
          <w:p w:rsidR="00375550" w:rsidRDefault="00375550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2127" w:type="dxa"/>
            <w:gridSpan w:val="3"/>
            <w:vMerge/>
          </w:tcPr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375550" w:rsidRDefault="00027C9C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c) </w:t>
            </w:r>
            <w:r w:rsidR="00375550">
              <w:rPr>
                <w:sz w:val="14"/>
                <w:szCs w:val="14"/>
              </w:rPr>
              <w:t xml:space="preserve">Az előirányzat felhasználható </w:t>
            </w:r>
            <w:r w:rsidR="00375550">
              <w:rPr>
                <w:sz w:val="14"/>
                <w:szCs w:val="14"/>
              </w:rPr>
              <w:br/>
              <w:t xml:space="preserve">a bűncselekmények áldozatainak segítéséről és az állami kárenyhítésről szóló törvény alapján a bűncselekményt vagy tulajdon elleni szabálysértést, illetve bűncselekmény vagy tulajdon elleni szabálysértés közvetlen következményeként sérelmet elszenvedett és emiatt életminőségükben veszélybe került személyek anyagi sérelmei enyhítésére. </w:t>
            </w:r>
          </w:p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Az előirányzat terhére kifizethetőek</w:t>
            </w:r>
            <w:r>
              <w:rPr>
                <w:sz w:val="14"/>
                <w:szCs w:val="14"/>
              </w:rPr>
              <w:br/>
              <w:t xml:space="preserve">az áldozatsegítő eljárásokkal kapcsolatos fordítási, tolmácsolási költségek, </w:t>
            </w:r>
            <w:r>
              <w:rPr>
                <w:sz w:val="14"/>
                <w:szCs w:val="14"/>
              </w:rPr>
              <w:br/>
              <w:t xml:space="preserve">az előirányzatból történő kifizetésekhez kapcsolódó postaköltségek, továbbá </w:t>
            </w:r>
            <w:r>
              <w:rPr>
                <w:sz w:val="14"/>
                <w:szCs w:val="14"/>
              </w:rPr>
              <w:br/>
              <w:t xml:space="preserve">a számlavezetéshez, valamint </w:t>
            </w:r>
            <w:r>
              <w:rPr>
                <w:sz w:val="14"/>
                <w:szCs w:val="14"/>
              </w:rPr>
              <w:br/>
              <w:t xml:space="preserve">az áldozatsegítő szolgálat által </w:t>
            </w:r>
            <w:r>
              <w:rPr>
                <w:sz w:val="14"/>
                <w:szCs w:val="14"/>
              </w:rPr>
              <w:br/>
              <w:t>az előirányzatból történő kifizetések biztosítására nyitott fizetési számla számlavezetéséhez kapcsolódó díjak.</w:t>
            </w:r>
          </w:p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75550" w:rsidRDefault="00375550">
            <w:pPr>
              <w:spacing w:after="0"/>
              <w:ind w:left="28"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c)</w:t>
            </w:r>
            <w:r w:rsidR="00027C9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 bűncselekmények áldozatainak segítéséről és az állami kárenyhítésről szóló törvényben meghatározottak</w:t>
            </w:r>
          </w:p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375550" w:rsidRDefault="00375550">
            <w:pPr>
              <w:spacing w:after="0" w:line="480" w:lineRule="auto"/>
              <w:ind w:firstLine="0"/>
              <w:jc w:val="left"/>
              <w:rPr>
                <w:sz w:val="14"/>
                <w:szCs w:val="14"/>
              </w:rPr>
            </w:pPr>
          </w:p>
        </w:tc>
      </w:tr>
      <w:tr w:rsidR="00375550">
        <w:tblPrEx>
          <w:tblCellMar>
            <w:top w:w="0" w:type="dxa"/>
            <w:bottom w:w="0" w:type="dxa"/>
          </w:tblCellMar>
        </w:tblPrEx>
        <w:trPr>
          <w:cantSplit/>
          <w:trHeight w:val="2674"/>
        </w:trPr>
        <w:tc>
          <w:tcPr>
            <w:tcW w:w="534" w:type="dxa"/>
            <w:vMerge/>
          </w:tcPr>
          <w:p w:rsidR="00375550" w:rsidRDefault="00375550">
            <w:pPr>
              <w:spacing w:after="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2127" w:type="dxa"/>
            <w:gridSpan w:val="3"/>
            <w:vMerge/>
          </w:tcPr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2641" w:type="dxa"/>
            <w:tcBorders>
              <w:top w:val="nil"/>
            </w:tcBorders>
          </w:tcPr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d)</w:t>
            </w:r>
            <w:r w:rsidR="00027C9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Az előirányzat felhasználható az igazságügyi miniszter feladatkörébe tartozó, az Emberi Jogok Európai Bírósága által hozott ítéletek, illetve határozatok alapján az államot terhelő fizetési kötelezettségek megtérítésével kapcsolatos kifizetések, a büntetések, az intézkedések, egyes kényszerintézkedések és a szabálysértési elzárás végrehajtásáról szóló 2013. évi CCXL. törvény szerinti alapvető jogokat sértő elhelyezési körülmények miatti kártalanítás, illetve a kártalanításból történő – törvény szerinti – kielégítések megfizetésére, valamint az ezekkel összefüggő banki, kincstári díjak, jutalékok,</w:t>
            </w:r>
            <w:proofErr w:type="gramEnd"/>
            <w:r>
              <w:rPr>
                <w:sz w:val="14"/>
                <w:szCs w:val="14"/>
              </w:rPr>
              <w:t xml:space="preserve"> költségek és postaköltség fedezetére.</w:t>
            </w:r>
          </w:p>
        </w:tc>
        <w:tc>
          <w:tcPr>
            <w:tcW w:w="1843" w:type="dxa"/>
            <w:tcBorders>
              <w:top w:val="nil"/>
            </w:tcBorders>
          </w:tcPr>
          <w:p w:rsidR="00375550" w:rsidRDefault="00375550">
            <w:pPr>
              <w:spacing w:after="0"/>
              <w:ind w:left="28"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d)</w:t>
            </w:r>
            <w:r w:rsidR="00027C9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természetes személy, jogi személy</w:t>
            </w:r>
          </w:p>
        </w:tc>
        <w:tc>
          <w:tcPr>
            <w:tcW w:w="1134" w:type="dxa"/>
            <w:vMerge/>
          </w:tcPr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375550" w:rsidRDefault="00375550">
            <w:pPr>
              <w:spacing w:after="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375550" w:rsidRDefault="00375550">
            <w:pPr>
              <w:spacing w:after="0" w:line="480" w:lineRule="auto"/>
              <w:ind w:firstLine="0"/>
              <w:jc w:val="left"/>
              <w:rPr>
                <w:sz w:val="14"/>
                <w:szCs w:val="14"/>
              </w:rPr>
            </w:pPr>
          </w:p>
        </w:tc>
      </w:tr>
    </w:tbl>
    <w:p w:rsidR="00CB6E0C" w:rsidRDefault="00CB6E0C"/>
    <w:sectPr w:rsidR="00CB6E0C">
      <w:pgSz w:w="16840" w:h="11907" w:orient="landscape"/>
      <w:pgMar w:top="1134" w:right="851" w:bottom="1134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8C"/>
    <w:rsid w:val="00027C9C"/>
    <w:rsid w:val="00375550"/>
    <w:rsid w:val="00CB6E0C"/>
    <w:rsid w:val="00D2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autoSpaceDE w:val="0"/>
      <w:autoSpaceDN w:val="0"/>
      <w:adjustRightInd w:val="0"/>
      <w:spacing w:after="20" w:line="240" w:lineRule="auto"/>
      <w:ind w:firstLine="142"/>
      <w:jc w:val="both"/>
    </w:pPr>
    <w:rPr>
      <w:rFonts w:ascii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">
    <w:name w:val="C1"/>
    <w:uiPriority w:val="99"/>
    <w:pPr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2">
    <w:name w:val="C2"/>
    <w:uiPriority w:val="99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3">
    <w:name w:val="C3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4">
    <w:name w:val="C4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5">
    <w:name w:val="C5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6">
    <w:name w:val="C6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7">
    <w:name w:val="C7"/>
    <w:uiPriority w:val="99"/>
    <w:pPr>
      <w:autoSpaceDE w:val="0"/>
      <w:autoSpaceDN w:val="0"/>
      <w:adjustRightInd w:val="0"/>
      <w:spacing w:before="120" w:after="240" w:line="240" w:lineRule="auto"/>
      <w:jc w:val="center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M">
    <w:name w:val="M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i/>
      <w:iCs/>
      <w:sz w:val="20"/>
      <w:szCs w:val="20"/>
      <w:u w:val="single"/>
    </w:rPr>
  </w:style>
  <w:style w:type="paragraph" w:customStyle="1" w:styleId="LN">
    <w:name w:val="LN"/>
    <w:uiPriority w:val="99"/>
    <w:pPr>
      <w:autoSpaceDE w:val="0"/>
      <w:autoSpaceDN w:val="0"/>
      <w:adjustRightInd w:val="0"/>
      <w:spacing w:before="80"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7B">
    <w:name w:val="C7B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DOLT">
    <w:name w:val="DOLT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BOLD">
    <w:name w:val="BOLD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KOZEP">
    <w:name w:val="KOZEP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BE">
    <w:name w:val="BE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ZJ">
    <w:name w:val="ZJ"/>
    <w:uiPriority w:val="99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KI">
    <w:name w:val="KI"/>
    <w:uiPriority w:val="99"/>
    <w:pPr>
      <w:autoSpaceDE w:val="0"/>
      <w:autoSpaceDN w:val="0"/>
      <w:adjustRightInd w:val="0"/>
      <w:spacing w:after="0" w:line="240" w:lineRule="auto"/>
      <w:ind w:hanging="300"/>
    </w:pPr>
    <w:rPr>
      <w:rFonts w:ascii="Times New Roman" w:hAnsi="Times New Roman" w:cs="Times New Roman"/>
      <w:sz w:val="20"/>
      <w:szCs w:val="20"/>
    </w:rPr>
  </w:style>
  <w:style w:type="paragraph" w:customStyle="1" w:styleId="N1">
    <w:name w:val="N1"/>
    <w:uiPriority w:val="99"/>
    <w:pPr>
      <w:autoSpaceDE w:val="0"/>
      <w:autoSpaceDN w:val="0"/>
      <w:adjustRightInd w:val="0"/>
      <w:spacing w:before="120" w:after="6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2">
    <w:name w:val="N2"/>
    <w:uiPriority w:val="99"/>
    <w:pPr>
      <w:autoSpaceDE w:val="0"/>
      <w:autoSpaceDN w:val="0"/>
      <w:adjustRightInd w:val="0"/>
      <w:spacing w:after="24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3">
    <w:name w:val="N3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4">
    <w:name w:val="N4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5">
    <w:name w:val="N5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6">
    <w:name w:val="N6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7">
    <w:name w:val="N7"/>
    <w:uiPriority w:val="99"/>
    <w:pPr>
      <w:autoSpaceDE w:val="0"/>
      <w:autoSpaceDN w:val="0"/>
      <w:adjustRightInd w:val="0"/>
      <w:spacing w:before="120" w:after="240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U">
    <w:name w:val="U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N7B">
    <w:name w:val="N7B"/>
    <w:uiPriority w:val="9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LA00">
    <w:name w:val="ALA00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Nincsbekezdsstlus">
    <w:name w:val="[Nincs bekezdésstílus]"/>
    <w:rsid w:val="00D2408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T6balTablazat">
    <w:name w:val="T6 bal (Tablazat)"/>
    <w:basedOn w:val="Nincsbekezdsstlus"/>
    <w:uiPriority w:val="99"/>
    <w:rsid w:val="00D2408C"/>
    <w:pPr>
      <w:suppressAutoHyphens/>
      <w:spacing w:line="200" w:lineRule="atLeast"/>
    </w:pPr>
    <w:rPr>
      <w:rFonts w:ascii="Myriad Pro" w:hAnsi="Myriad Pro" w:cs="Myriad Pro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autoSpaceDE w:val="0"/>
      <w:autoSpaceDN w:val="0"/>
      <w:adjustRightInd w:val="0"/>
      <w:spacing w:after="20" w:line="240" w:lineRule="auto"/>
      <w:ind w:firstLine="142"/>
      <w:jc w:val="both"/>
    </w:pPr>
    <w:rPr>
      <w:rFonts w:ascii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">
    <w:name w:val="C1"/>
    <w:uiPriority w:val="99"/>
    <w:pPr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2">
    <w:name w:val="C2"/>
    <w:uiPriority w:val="99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3">
    <w:name w:val="C3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4">
    <w:name w:val="C4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5">
    <w:name w:val="C5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6">
    <w:name w:val="C6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7">
    <w:name w:val="C7"/>
    <w:uiPriority w:val="99"/>
    <w:pPr>
      <w:autoSpaceDE w:val="0"/>
      <w:autoSpaceDN w:val="0"/>
      <w:adjustRightInd w:val="0"/>
      <w:spacing w:before="120" w:after="240" w:line="240" w:lineRule="auto"/>
      <w:jc w:val="center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M">
    <w:name w:val="M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i/>
      <w:iCs/>
      <w:sz w:val="20"/>
      <w:szCs w:val="20"/>
      <w:u w:val="single"/>
    </w:rPr>
  </w:style>
  <w:style w:type="paragraph" w:customStyle="1" w:styleId="LN">
    <w:name w:val="LN"/>
    <w:uiPriority w:val="99"/>
    <w:pPr>
      <w:autoSpaceDE w:val="0"/>
      <w:autoSpaceDN w:val="0"/>
      <w:adjustRightInd w:val="0"/>
      <w:spacing w:before="80"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7B">
    <w:name w:val="C7B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DOLT">
    <w:name w:val="DOLT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BOLD">
    <w:name w:val="BOLD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KOZEP">
    <w:name w:val="KOZEP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BE">
    <w:name w:val="BE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ZJ">
    <w:name w:val="ZJ"/>
    <w:uiPriority w:val="99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KI">
    <w:name w:val="KI"/>
    <w:uiPriority w:val="99"/>
    <w:pPr>
      <w:autoSpaceDE w:val="0"/>
      <w:autoSpaceDN w:val="0"/>
      <w:adjustRightInd w:val="0"/>
      <w:spacing w:after="0" w:line="240" w:lineRule="auto"/>
      <w:ind w:hanging="300"/>
    </w:pPr>
    <w:rPr>
      <w:rFonts w:ascii="Times New Roman" w:hAnsi="Times New Roman" w:cs="Times New Roman"/>
      <w:sz w:val="20"/>
      <w:szCs w:val="20"/>
    </w:rPr>
  </w:style>
  <w:style w:type="paragraph" w:customStyle="1" w:styleId="N1">
    <w:name w:val="N1"/>
    <w:uiPriority w:val="99"/>
    <w:pPr>
      <w:autoSpaceDE w:val="0"/>
      <w:autoSpaceDN w:val="0"/>
      <w:adjustRightInd w:val="0"/>
      <w:spacing w:before="120" w:after="6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2">
    <w:name w:val="N2"/>
    <w:uiPriority w:val="99"/>
    <w:pPr>
      <w:autoSpaceDE w:val="0"/>
      <w:autoSpaceDN w:val="0"/>
      <w:adjustRightInd w:val="0"/>
      <w:spacing w:after="24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3">
    <w:name w:val="N3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4">
    <w:name w:val="N4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5">
    <w:name w:val="N5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6">
    <w:name w:val="N6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7">
    <w:name w:val="N7"/>
    <w:uiPriority w:val="99"/>
    <w:pPr>
      <w:autoSpaceDE w:val="0"/>
      <w:autoSpaceDN w:val="0"/>
      <w:adjustRightInd w:val="0"/>
      <w:spacing w:before="120" w:after="240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U">
    <w:name w:val="U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N7B">
    <w:name w:val="N7B"/>
    <w:uiPriority w:val="9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LA00">
    <w:name w:val="ALA00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Nincsbekezdsstlus">
    <w:name w:val="[Nincs bekezdésstílus]"/>
    <w:rsid w:val="00D2408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T6balTablazat">
    <w:name w:val="T6 bal (Tablazat)"/>
    <w:basedOn w:val="Nincsbekezdsstlus"/>
    <w:uiPriority w:val="99"/>
    <w:rsid w:val="00D2408C"/>
    <w:pPr>
      <w:suppressAutoHyphens/>
      <w:spacing w:line="200" w:lineRule="atLeast"/>
    </w:pPr>
    <w:rPr>
      <w:rFonts w:ascii="Myriad Pro" w:hAnsi="Myriad Pro" w:cs="Myriad Pro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1182</Words>
  <Characters>8163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MHK</Company>
  <LinksUpToDate>false</LinksUpToDate>
  <CharactersWithSpaces>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janto.peter</dc:creator>
  <cp:lastModifiedBy>janto.peter</cp:lastModifiedBy>
  <cp:revision>3</cp:revision>
  <dcterms:created xsi:type="dcterms:W3CDTF">2023-05-23T11:01:00Z</dcterms:created>
  <dcterms:modified xsi:type="dcterms:W3CDTF">2023-05-23T11:02:00Z</dcterms:modified>
</cp:coreProperties>
</file>